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EB4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06B3583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471EA6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108923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4DFF21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123ACB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45CBED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p>
    <w:p w14:paraId="62101B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pacing w:val="0"/>
          <w:sz w:val="32"/>
          <w:szCs w:val="32"/>
        </w:rPr>
      </w:pPr>
      <w:r>
        <w:rPr>
          <w:rFonts w:hint="eastAsia" w:ascii="仿宋_GB2312" w:hAnsi="仿宋_GB2312" w:eastAsia="仿宋_GB2312" w:cs="仿宋_GB2312"/>
          <w:color w:val="auto"/>
          <w:spacing w:val="0"/>
          <w:sz w:val="32"/>
          <w:szCs w:val="32"/>
        </w:rPr>
        <w:t>佛财办农〔202</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70</w:t>
      </w:r>
      <w:r>
        <w:rPr>
          <w:rFonts w:hint="eastAsia" w:ascii="仿宋_GB2312" w:hAnsi="仿宋_GB2312" w:eastAsia="仿宋_GB2312" w:cs="仿宋_GB2312"/>
          <w:color w:val="auto"/>
          <w:spacing w:val="0"/>
          <w:sz w:val="32"/>
          <w:szCs w:val="32"/>
        </w:rPr>
        <w:t>号</w:t>
      </w:r>
    </w:p>
    <w:p w14:paraId="10A933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pacing w:val="0"/>
          <w:sz w:val="44"/>
          <w:szCs w:val="44"/>
        </w:rPr>
      </w:pPr>
    </w:p>
    <w:p w14:paraId="3A4604E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pacing w:val="0"/>
          <w:sz w:val="44"/>
          <w:szCs w:val="44"/>
        </w:rPr>
      </w:pPr>
    </w:p>
    <w:p w14:paraId="18954C7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Cs/>
          <w:color w:val="auto"/>
          <w:spacing w:val="0"/>
          <w:kern w:val="0"/>
          <w:sz w:val="44"/>
          <w:szCs w:val="44"/>
          <w:lang w:eastAsia="zh-CN"/>
        </w:rPr>
      </w:pPr>
      <w:r>
        <w:rPr>
          <w:rFonts w:hint="eastAsia" w:ascii="方正小标宋简体" w:hAnsi="方正小标宋简体" w:eastAsia="方正小标宋简体" w:cs="方正小标宋简体"/>
          <w:bCs/>
          <w:color w:val="auto"/>
          <w:spacing w:val="0"/>
          <w:kern w:val="0"/>
          <w:sz w:val="44"/>
          <w:szCs w:val="44"/>
          <w:lang w:eastAsia="zh-CN"/>
        </w:rPr>
        <w:t>佛坪县财政局</w:t>
      </w:r>
    </w:p>
    <w:p w14:paraId="6DED196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pacing w:val="0"/>
          <w:sz w:val="44"/>
          <w:szCs w:val="44"/>
          <w:lang w:eastAsia="zh-CN"/>
        </w:rPr>
      </w:pPr>
      <w:r>
        <w:rPr>
          <w:rFonts w:hint="eastAsia" w:ascii="方正小标宋简体" w:hAnsi="方正小标宋简体" w:eastAsia="方正小标宋简体" w:cs="方正小标宋简体"/>
          <w:color w:val="auto"/>
          <w:spacing w:val="0"/>
          <w:sz w:val="44"/>
          <w:szCs w:val="44"/>
        </w:rPr>
        <w:t>关于</w:t>
      </w:r>
      <w:r>
        <w:rPr>
          <w:rFonts w:hint="eastAsia" w:ascii="方正小标宋简体" w:hAnsi="方正小标宋简体" w:eastAsia="方正小标宋简体" w:cs="方正小标宋简体"/>
          <w:color w:val="auto"/>
          <w:spacing w:val="0"/>
          <w:sz w:val="44"/>
          <w:szCs w:val="44"/>
          <w:lang w:eastAsia="zh-CN"/>
        </w:rPr>
        <w:t>调整</w:t>
      </w:r>
      <w:r>
        <w:rPr>
          <w:rFonts w:hint="eastAsia" w:ascii="方正小标宋简体" w:hAnsi="方正小标宋简体" w:eastAsia="方正小标宋简体" w:cs="方正小标宋简体"/>
          <w:color w:val="auto"/>
          <w:spacing w:val="0"/>
          <w:sz w:val="44"/>
          <w:szCs w:val="44"/>
        </w:rPr>
        <w:t>202</w:t>
      </w:r>
      <w:r>
        <w:rPr>
          <w:rFonts w:hint="eastAsia" w:ascii="方正小标宋简体" w:hAnsi="方正小标宋简体" w:eastAsia="方正小标宋简体" w:cs="方正小标宋简体"/>
          <w:color w:val="auto"/>
          <w:spacing w:val="0"/>
          <w:sz w:val="44"/>
          <w:szCs w:val="44"/>
          <w:lang w:val="en-US" w:eastAsia="zh-CN"/>
        </w:rPr>
        <w:t>5</w:t>
      </w:r>
      <w:r>
        <w:rPr>
          <w:rFonts w:hint="eastAsia" w:ascii="方正小标宋简体" w:hAnsi="方正小标宋简体" w:eastAsia="方正小标宋简体" w:cs="方正小标宋简体"/>
          <w:color w:val="auto"/>
          <w:spacing w:val="0"/>
          <w:sz w:val="44"/>
          <w:szCs w:val="44"/>
        </w:rPr>
        <w:t>年</w:t>
      </w:r>
      <w:r>
        <w:rPr>
          <w:rFonts w:hint="eastAsia" w:ascii="方正小标宋简体" w:hAnsi="方正小标宋简体" w:eastAsia="方正小标宋简体" w:cs="方正小标宋简体"/>
          <w:color w:val="auto"/>
          <w:spacing w:val="0"/>
          <w:sz w:val="44"/>
          <w:szCs w:val="44"/>
          <w:lang w:eastAsia="zh-CN"/>
        </w:rPr>
        <w:t>第二批部分省级和</w:t>
      </w:r>
    </w:p>
    <w:p w14:paraId="0C7CD4A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eastAsia="zh-CN"/>
        </w:rPr>
        <w:t>市级</w:t>
      </w:r>
      <w:r>
        <w:rPr>
          <w:rFonts w:hint="eastAsia" w:ascii="方正小标宋简体" w:hAnsi="方正小标宋简体" w:eastAsia="方正小标宋简体" w:cs="方正小标宋简体"/>
          <w:color w:val="auto"/>
          <w:spacing w:val="0"/>
          <w:sz w:val="44"/>
          <w:szCs w:val="44"/>
        </w:rPr>
        <w:t>财政衔接推进乡村振兴</w:t>
      </w:r>
    </w:p>
    <w:p w14:paraId="7AD0110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补助</w:t>
      </w:r>
      <w:r>
        <w:rPr>
          <w:rFonts w:hint="eastAsia" w:ascii="方正小标宋简体" w:hAnsi="方正小标宋简体" w:eastAsia="方正小标宋简体" w:cs="方正小标宋简体"/>
          <w:color w:val="auto"/>
          <w:spacing w:val="0"/>
          <w:sz w:val="44"/>
          <w:szCs w:val="44"/>
          <w:lang w:eastAsia="zh-CN"/>
        </w:rPr>
        <w:t>项目</w:t>
      </w:r>
      <w:r>
        <w:rPr>
          <w:rFonts w:hint="eastAsia" w:ascii="方正小标宋简体" w:hAnsi="方正小标宋简体" w:eastAsia="方正小标宋简体" w:cs="方正小标宋简体"/>
          <w:color w:val="auto"/>
          <w:spacing w:val="0"/>
          <w:sz w:val="44"/>
          <w:szCs w:val="44"/>
        </w:rPr>
        <w:t>资金的通知</w:t>
      </w:r>
    </w:p>
    <w:p w14:paraId="7B44BC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p>
    <w:p w14:paraId="18E075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县农业农村局，县乡村振兴服务中心</w:t>
      </w:r>
      <w:r>
        <w:rPr>
          <w:rFonts w:hint="eastAsia" w:ascii="仿宋_GB2312" w:hAnsi="仿宋_GB2312" w:eastAsia="仿宋_GB2312" w:cs="仿宋_GB2312"/>
          <w:color w:val="auto"/>
          <w:spacing w:val="0"/>
          <w:sz w:val="32"/>
          <w:szCs w:val="32"/>
        </w:rPr>
        <w:t>：</w:t>
      </w:r>
    </w:p>
    <w:p w14:paraId="3F3B6C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根据</w:t>
      </w:r>
      <w:r>
        <w:rPr>
          <w:rFonts w:hint="eastAsia" w:ascii="仿宋_GB2312" w:hAnsi="仿宋_GB2312" w:eastAsia="仿宋_GB2312" w:cs="仿宋_GB2312"/>
          <w:color w:val="auto"/>
          <w:spacing w:val="0"/>
          <w:sz w:val="32"/>
          <w:szCs w:val="32"/>
          <w:lang w:eastAsia="zh-CN"/>
        </w:rPr>
        <w:t>《佛坪县农业农村局关于调整变更部分衔接资金项目计划的通知》（佛</w:t>
      </w:r>
      <w:r>
        <w:rPr>
          <w:rFonts w:hint="eastAsia" w:ascii="仿宋_GB2312" w:hAnsi="仿宋_GB2312" w:eastAsia="仿宋_GB2312" w:cs="仿宋_GB2312"/>
          <w:color w:val="auto"/>
          <w:spacing w:val="0"/>
          <w:sz w:val="32"/>
          <w:szCs w:val="32"/>
        </w:rPr>
        <w:t>农</w:t>
      </w:r>
      <w:r>
        <w:rPr>
          <w:rFonts w:hint="eastAsia" w:ascii="仿宋_GB2312" w:hAnsi="仿宋_GB2312" w:eastAsia="仿宋_GB2312" w:cs="仿宋_GB2312"/>
          <w:color w:val="auto"/>
          <w:spacing w:val="0"/>
          <w:sz w:val="32"/>
          <w:szCs w:val="32"/>
          <w:lang w:eastAsia="zh-CN"/>
        </w:rPr>
        <w:t>发</w:t>
      </w:r>
      <w:r>
        <w:rPr>
          <w:rFonts w:hint="eastAsia" w:ascii="仿宋_GB2312" w:hAnsi="仿宋_GB2312" w:eastAsia="仿宋_GB2312" w:cs="仿宋_GB2312"/>
          <w:color w:val="auto"/>
          <w:spacing w:val="0"/>
          <w:sz w:val="32"/>
          <w:szCs w:val="32"/>
        </w:rPr>
        <w:t>〔202</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32</w:t>
      </w:r>
      <w:r>
        <w:rPr>
          <w:rFonts w:hint="eastAsia" w:ascii="仿宋_GB2312" w:hAnsi="仿宋_GB2312" w:eastAsia="仿宋_GB2312" w:cs="仿宋_GB2312"/>
          <w:color w:val="auto"/>
          <w:spacing w:val="0"/>
          <w:sz w:val="32"/>
          <w:szCs w:val="32"/>
        </w:rPr>
        <w:t>号</w:t>
      </w:r>
      <w:r>
        <w:rPr>
          <w:rFonts w:hint="eastAsia" w:ascii="仿宋_GB2312" w:hAnsi="仿宋_GB2312" w:eastAsia="仿宋_GB2312" w:cs="仿宋_GB2312"/>
          <w:color w:val="auto"/>
          <w:spacing w:val="0"/>
          <w:sz w:val="32"/>
          <w:szCs w:val="32"/>
          <w:lang w:eastAsia="zh-CN"/>
        </w:rPr>
        <w:t>）文件要求，结合《佛坪县财政局、佛坪县农业农村局、佛坪县乡村振兴局、佛坪县发展和改革局转发&lt;汉中市财政局、汉中市农业农村局、汉中市乡村振兴局、汉中市发展和改革委员会关于印发汉中市财政衔接资金及涉农整合资金项目管理工作细则&gt;的通知》（佛财办农〔2022〕35号）文件精神，经研究决定，对原第二批省级衔接资金佛</w:t>
      </w:r>
      <w:r>
        <w:rPr>
          <w:rFonts w:hint="eastAsia" w:ascii="仿宋_GB2312" w:hAnsi="仿宋_GB2312" w:eastAsia="仿宋_GB2312" w:cs="仿宋_GB2312"/>
          <w:color w:val="auto"/>
          <w:spacing w:val="0"/>
          <w:sz w:val="32"/>
          <w:szCs w:val="32"/>
        </w:rPr>
        <w:t>财办农〔202</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39</w:t>
      </w:r>
      <w:r>
        <w:rPr>
          <w:rFonts w:hint="eastAsia" w:ascii="仿宋_GB2312" w:hAnsi="仿宋_GB2312" w:eastAsia="仿宋_GB2312" w:cs="仿宋_GB2312"/>
          <w:color w:val="auto"/>
          <w:spacing w:val="0"/>
          <w:sz w:val="32"/>
          <w:szCs w:val="32"/>
        </w:rPr>
        <w:t>号</w:t>
      </w:r>
      <w:r>
        <w:rPr>
          <w:rFonts w:hint="eastAsia" w:ascii="仿宋_GB2312" w:hAnsi="仿宋_GB2312" w:eastAsia="仿宋_GB2312" w:cs="仿宋_GB2312"/>
          <w:color w:val="auto"/>
          <w:spacing w:val="0"/>
          <w:sz w:val="32"/>
          <w:szCs w:val="32"/>
          <w:lang w:eastAsia="zh-CN"/>
        </w:rPr>
        <w:t>和第二批市级衔接资金佛</w:t>
      </w:r>
      <w:r>
        <w:rPr>
          <w:rFonts w:hint="eastAsia" w:ascii="仿宋_GB2312" w:hAnsi="仿宋_GB2312" w:eastAsia="仿宋_GB2312" w:cs="仿宋_GB2312"/>
          <w:color w:val="auto"/>
          <w:spacing w:val="0"/>
          <w:sz w:val="32"/>
          <w:szCs w:val="32"/>
        </w:rPr>
        <w:t>财办农〔202</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40</w:t>
      </w:r>
      <w:r>
        <w:rPr>
          <w:rFonts w:hint="eastAsia" w:ascii="仿宋_GB2312" w:hAnsi="仿宋_GB2312" w:eastAsia="仿宋_GB2312" w:cs="仿宋_GB2312"/>
          <w:color w:val="auto"/>
          <w:spacing w:val="0"/>
          <w:sz w:val="32"/>
          <w:szCs w:val="32"/>
        </w:rPr>
        <w:t>号</w:t>
      </w:r>
      <w:r>
        <w:rPr>
          <w:rFonts w:hint="eastAsia" w:ascii="仿宋_GB2312" w:hAnsi="仿宋_GB2312" w:eastAsia="仿宋_GB2312" w:cs="仿宋_GB2312"/>
          <w:color w:val="auto"/>
          <w:spacing w:val="0"/>
          <w:sz w:val="32"/>
          <w:szCs w:val="32"/>
          <w:lang w:eastAsia="zh-CN"/>
        </w:rPr>
        <w:t>资金文件下达的</w:t>
      </w:r>
      <w:r>
        <w:rPr>
          <w:rFonts w:hint="eastAsia" w:ascii="仿宋_GB2312" w:hAnsi="仿宋_GB2312" w:eastAsia="仿宋_GB2312" w:cs="仿宋_GB2312"/>
          <w:color w:val="auto"/>
          <w:spacing w:val="0"/>
          <w:sz w:val="32"/>
          <w:szCs w:val="32"/>
          <w:lang w:val="en-US" w:eastAsia="zh-CN"/>
        </w:rPr>
        <w:t>6.2万元</w:t>
      </w:r>
      <w:r>
        <w:rPr>
          <w:rFonts w:hint="eastAsia" w:ascii="仿宋_GB2312" w:hAnsi="仿宋_GB2312" w:eastAsia="仿宋_GB2312" w:cs="仿宋_GB2312"/>
          <w:color w:val="auto"/>
          <w:spacing w:val="0"/>
          <w:sz w:val="32"/>
          <w:szCs w:val="32"/>
          <w:lang w:eastAsia="zh-CN"/>
        </w:rPr>
        <w:t>指标予以调整（详见附件</w:t>
      </w:r>
      <w:r>
        <w:rPr>
          <w:rFonts w:hint="eastAsia" w:ascii="仿宋_GB2312" w:hAnsi="仿宋_GB2312" w:eastAsia="仿宋_GB2312" w:cs="仿宋_GB2312"/>
          <w:color w:val="auto"/>
          <w:spacing w:val="0"/>
          <w:sz w:val="32"/>
          <w:szCs w:val="32"/>
          <w:lang w:val="en-US" w:eastAsia="zh-CN"/>
        </w:rPr>
        <w:t>1</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现将有关事项通知如下：</w:t>
      </w:r>
    </w:p>
    <w:p w14:paraId="7F2DE0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kern w:val="0"/>
          <w:sz w:val="32"/>
          <w:szCs w:val="32"/>
        </w:rPr>
      </w:pPr>
      <w:r>
        <w:rPr>
          <w:rFonts w:hint="eastAsia" w:ascii="仿宋_GB2312" w:hAnsi="仿宋_GB2312" w:eastAsia="仿宋_GB2312" w:cs="仿宋_GB2312"/>
          <w:color w:val="auto"/>
          <w:spacing w:val="0"/>
          <w:kern w:val="0"/>
          <w:sz w:val="32"/>
          <w:szCs w:val="32"/>
        </w:rPr>
        <w:t>1.</w:t>
      </w:r>
      <w:r>
        <w:rPr>
          <w:rFonts w:hint="eastAsia" w:ascii="仿宋_GB2312" w:hAnsi="仿宋_GB2312" w:eastAsia="仿宋_GB2312" w:cs="仿宋_GB2312"/>
          <w:color w:val="auto"/>
          <w:spacing w:val="0"/>
          <w:kern w:val="0"/>
          <w:sz w:val="32"/>
          <w:szCs w:val="32"/>
          <w:lang w:eastAsia="zh-CN"/>
        </w:rPr>
        <w:t>请</w:t>
      </w:r>
      <w:r>
        <w:rPr>
          <w:rFonts w:hint="eastAsia" w:ascii="仿宋_GB2312" w:hAnsi="仿宋_GB2312" w:eastAsia="仿宋_GB2312" w:cs="仿宋_GB2312"/>
          <w:color w:val="auto"/>
          <w:spacing w:val="0"/>
          <w:kern w:val="0"/>
          <w:sz w:val="32"/>
          <w:szCs w:val="32"/>
        </w:rPr>
        <w:t>按照《</w:t>
      </w:r>
      <w:r>
        <w:rPr>
          <w:rFonts w:hint="eastAsia" w:ascii="仿宋_GB2312" w:hAnsi="仿宋_GB2312" w:eastAsia="仿宋_GB2312" w:cs="仿宋_GB2312"/>
          <w:color w:val="auto"/>
          <w:spacing w:val="0"/>
          <w:kern w:val="0"/>
          <w:sz w:val="32"/>
          <w:szCs w:val="32"/>
          <w:lang w:eastAsia="zh-CN"/>
        </w:rPr>
        <w:t>中央财政衔接推进乡村振兴补助资金管理办法</w:t>
      </w:r>
      <w:r>
        <w:rPr>
          <w:rFonts w:hint="eastAsia" w:ascii="仿宋_GB2312" w:hAnsi="仿宋_GB2312" w:eastAsia="仿宋_GB2312" w:cs="仿宋_GB2312"/>
          <w:color w:val="auto"/>
          <w:spacing w:val="0"/>
          <w:kern w:val="0"/>
          <w:sz w:val="32"/>
          <w:szCs w:val="32"/>
        </w:rPr>
        <w:t>》(</w:t>
      </w:r>
      <w:r>
        <w:rPr>
          <w:rFonts w:hint="eastAsia" w:ascii="仿宋_GB2312" w:hAnsi="仿宋_GB2312" w:eastAsia="仿宋_GB2312" w:cs="仿宋_GB2312"/>
          <w:color w:val="auto"/>
          <w:spacing w:val="0"/>
          <w:kern w:val="0"/>
          <w:sz w:val="32"/>
          <w:szCs w:val="32"/>
          <w:lang w:eastAsia="zh-CN"/>
        </w:rPr>
        <w:t>财</w:t>
      </w:r>
      <w:r>
        <w:rPr>
          <w:rFonts w:hint="eastAsia" w:ascii="仿宋_GB2312" w:hAnsi="仿宋_GB2312" w:eastAsia="仿宋_GB2312" w:cs="仿宋_GB2312"/>
          <w:color w:val="auto"/>
          <w:spacing w:val="0"/>
          <w:kern w:val="0"/>
          <w:sz w:val="32"/>
          <w:szCs w:val="32"/>
        </w:rPr>
        <w:t>农</w:t>
      </w:r>
      <w:r>
        <w:rPr>
          <w:rFonts w:hint="eastAsia" w:ascii="仿宋_GB2312" w:hAnsi="仿宋_GB2312" w:eastAsia="仿宋_GB2312" w:cs="仿宋_GB2312"/>
          <w:color w:val="auto"/>
          <w:spacing w:val="0"/>
          <w:sz w:val="32"/>
          <w:szCs w:val="32"/>
        </w:rPr>
        <w:t>〔2021〕</w:t>
      </w:r>
      <w:r>
        <w:rPr>
          <w:rFonts w:hint="eastAsia" w:ascii="仿宋_GB2312" w:hAnsi="仿宋_GB2312" w:eastAsia="仿宋_GB2312" w:cs="仿宋_GB2312"/>
          <w:color w:val="auto"/>
          <w:spacing w:val="0"/>
          <w:kern w:val="0"/>
          <w:sz w:val="32"/>
          <w:szCs w:val="32"/>
          <w:lang w:val="en-US" w:eastAsia="zh-CN"/>
        </w:rPr>
        <w:t>19</w:t>
      </w:r>
      <w:r>
        <w:rPr>
          <w:rFonts w:hint="eastAsia" w:ascii="仿宋_GB2312" w:hAnsi="仿宋_GB2312" w:eastAsia="仿宋_GB2312" w:cs="仿宋_GB2312"/>
          <w:color w:val="auto"/>
          <w:spacing w:val="0"/>
          <w:kern w:val="0"/>
          <w:sz w:val="32"/>
          <w:szCs w:val="32"/>
        </w:rPr>
        <w:t>号)、《</w:t>
      </w:r>
      <w:r>
        <w:rPr>
          <w:rFonts w:hint="eastAsia" w:ascii="仿宋_GB2312" w:hAnsi="仿宋_GB2312" w:eastAsia="仿宋_GB2312" w:cs="仿宋_GB2312"/>
          <w:color w:val="auto"/>
          <w:spacing w:val="0"/>
          <w:kern w:val="0"/>
          <w:sz w:val="32"/>
          <w:szCs w:val="32"/>
          <w:lang w:eastAsia="zh-CN"/>
        </w:rPr>
        <w:t>中央财政衔接推进乡村振兴补助资金管理办法有关事项的补充</w:t>
      </w:r>
      <w:r>
        <w:rPr>
          <w:rFonts w:hint="eastAsia" w:ascii="仿宋_GB2312" w:hAnsi="仿宋_GB2312" w:eastAsia="仿宋_GB2312" w:cs="仿宋_GB2312"/>
          <w:color w:val="auto"/>
          <w:spacing w:val="0"/>
          <w:kern w:val="0"/>
          <w:sz w:val="32"/>
          <w:szCs w:val="32"/>
        </w:rPr>
        <w:t>通知》</w:t>
      </w:r>
      <w:r>
        <w:rPr>
          <w:rFonts w:hint="eastAsia" w:ascii="仿宋_GB2312" w:hAnsi="仿宋_GB2312" w:eastAsia="仿宋_GB2312" w:cs="仿宋_GB2312"/>
          <w:color w:val="auto"/>
          <w:spacing w:val="0"/>
          <w:kern w:val="0"/>
          <w:sz w:val="32"/>
          <w:szCs w:val="32"/>
          <w:lang w:eastAsia="zh-CN"/>
        </w:rPr>
        <w:t>（财农</w:t>
      </w:r>
      <w:r>
        <w:rPr>
          <w:rFonts w:hint="eastAsia" w:ascii="仿宋_GB2312" w:hAnsi="仿宋_GB2312" w:eastAsia="仿宋_GB2312" w:cs="仿宋_GB2312"/>
          <w:color w:val="auto"/>
          <w:spacing w:val="0"/>
          <w:sz w:val="32"/>
          <w:szCs w:val="32"/>
        </w:rPr>
        <w:t>〔202</w:t>
      </w:r>
      <w:r>
        <w:rPr>
          <w:rFonts w:hint="eastAsia" w:ascii="仿宋_GB2312" w:hAnsi="仿宋_GB2312" w:eastAsia="仿宋_GB2312" w:cs="仿宋_GB2312"/>
          <w:color w:val="auto"/>
          <w:spacing w:val="0"/>
          <w:sz w:val="32"/>
          <w:szCs w:val="32"/>
          <w:lang w:val="en-US" w:eastAsia="zh-CN"/>
        </w:rPr>
        <w:t>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kern w:val="0"/>
          <w:sz w:val="32"/>
          <w:szCs w:val="32"/>
        </w:rPr>
        <w:t>4号)</w:t>
      </w:r>
      <w:r>
        <w:rPr>
          <w:rFonts w:hint="eastAsia" w:ascii="仿宋_GB2312" w:hAnsi="仿宋_GB2312" w:eastAsia="仿宋_GB2312" w:cs="仿宋_GB2312"/>
          <w:color w:val="auto"/>
          <w:spacing w:val="0"/>
          <w:kern w:val="0"/>
          <w:sz w:val="32"/>
          <w:szCs w:val="32"/>
          <w:lang w:eastAsia="zh-CN"/>
        </w:rPr>
        <w:t>等</w:t>
      </w:r>
      <w:r>
        <w:rPr>
          <w:rFonts w:hint="eastAsia" w:ascii="仿宋_GB2312" w:hAnsi="仿宋_GB2312" w:eastAsia="仿宋_GB2312" w:cs="仿宋_GB2312"/>
          <w:color w:val="auto"/>
          <w:spacing w:val="0"/>
          <w:kern w:val="0"/>
          <w:sz w:val="32"/>
          <w:szCs w:val="32"/>
        </w:rPr>
        <w:t>有关规定执行</w:t>
      </w:r>
      <w:r>
        <w:rPr>
          <w:rFonts w:hint="eastAsia" w:ascii="仿宋_GB2312" w:hAnsi="仿宋_GB2312" w:eastAsia="仿宋_GB2312" w:cs="仿宋_GB2312"/>
          <w:color w:val="auto"/>
          <w:spacing w:val="0"/>
          <w:kern w:val="0"/>
          <w:sz w:val="32"/>
          <w:szCs w:val="32"/>
          <w:lang w:eastAsia="zh-CN"/>
        </w:rPr>
        <w:t>，做好相关工作</w:t>
      </w:r>
      <w:r>
        <w:rPr>
          <w:rFonts w:hint="eastAsia" w:ascii="仿宋_GB2312" w:hAnsi="仿宋_GB2312" w:eastAsia="仿宋_GB2312" w:cs="仿宋_GB2312"/>
          <w:color w:val="auto"/>
          <w:spacing w:val="0"/>
          <w:kern w:val="0"/>
          <w:sz w:val="32"/>
          <w:szCs w:val="32"/>
        </w:rPr>
        <w:t>。</w:t>
      </w:r>
    </w:p>
    <w:p w14:paraId="05CA84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kern w:val="0"/>
          <w:sz w:val="32"/>
          <w:szCs w:val="32"/>
        </w:rPr>
      </w:pPr>
      <w:r>
        <w:rPr>
          <w:rFonts w:hint="eastAsia" w:ascii="仿宋_GB2312" w:hAnsi="仿宋_GB2312" w:eastAsia="仿宋_GB2312" w:cs="仿宋_GB2312"/>
          <w:color w:val="auto"/>
          <w:spacing w:val="0"/>
          <w:kern w:val="0"/>
          <w:sz w:val="32"/>
          <w:szCs w:val="32"/>
        </w:rPr>
        <w:t>2.认真贯彻落实党的二十大和</w:t>
      </w:r>
      <w:r>
        <w:rPr>
          <w:rFonts w:hint="eastAsia" w:ascii="仿宋_GB2312" w:hAnsi="仿宋_GB2312" w:eastAsia="仿宋_GB2312" w:cs="仿宋_GB2312"/>
          <w:color w:val="auto"/>
          <w:spacing w:val="0"/>
          <w:kern w:val="0"/>
          <w:sz w:val="32"/>
          <w:szCs w:val="32"/>
          <w:lang w:eastAsia="zh-CN"/>
        </w:rPr>
        <w:t>二十届二中、三中全会精神，按照</w:t>
      </w:r>
      <w:r>
        <w:rPr>
          <w:rFonts w:hint="eastAsia" w:ascii="仿宋_GB2312" w:hAnsi="仿宋_GB2312" w:eastAsia="仿宋_GB2312" w:cs="仿宋_GB2312"/>
          <w:color w:val="auto"/>
          <w:spacing w:val="0"/>
          <w:kern w:val="0"/>
          <w:sz w:val="32"/>
          <w:szCs w:val="32"/>
        </w:rPr>
        <w:t>《中共中央</w:t>
      </w:r>
      <w:r>
        <w:rPr>
          <w:rFonts w:hint="eastAsia" w:ascii="仿宋_GB2312" w:hAnsi="仿宋_GB2312" w:eastAsia="仿宋_GB2312" w:cs="仿宋_GB2312"/>
          <w:color w:val="auto"/>
          <w:spacing w:val="0"/>
          <w:kern w:val="0"/>
          <w:sz w:val="32"/>
          <w:szCs w:val="32"/>
          <w:lang w:val="en-US" w:eastAsia="zh-CN"/>
        </w:rPr>
        <w:t xml:space="preserve"> </w:t>
      </w:r>
      <w:r>
        <w:rPr>
          <w:rFonts w:hint="eastAsia" w:ascii="仿宋_GB2312" w:hAnsi="仿宋_GB2312" w:eastAsia="仿宋_GB2312" w:cs="仿宋_GB2312"/>
          <w:color w:val="auto"/>
          <w:spacing w:val="0"/>
          <w:kern w:val="0"/>
          <w:sz w:val="32"/>
          <w:szCs w:val="32"/>
        </w:rPr>
        <w:t>国务院关于实现巩固拓展脱贫攻坚成果同乡村振兴有效衔接的意见》</w:t>
      </w:r>
      <w:r>
        <w:rPr>
          <w:rFonts w:hint="eastAsia" w:ascii="仿宋_GB2312" w:hAnsi="仿宋_GB2312" w:eastAsia="仿宋_GB2312" w:cs="仿宋_GB2312"/>
          <w:color w:val="auto"/>
          <w:spacing w:val="0"/>
          <w:kern w:val="0"/>
          <w:sz w:val="32"/>
          <w:szCs w:val="32"/>
          <w:lang w:eastAsia="zh-CN"/>
        </w:rPr>
        <w:t>、</w:t>
      </w:r>
      <w:r>
        <w:rPr>
          <w:rFonts w:hint="eastAsia" w:ascii="仿宋_GB2312" w:hAnsi="仿宋_GB2312" w:eastAsia="仿宋_GB2312" w:cs="仿宋_GB2312"/>
          <w:color w:val="auto"/>
          <w:spacing w:val="0"/>
          <w:kern w:val="0"/>
          <w:sz w:val="32"/>
          <w:szCs w:val="32"/>
        </w:rPr>
        <w:t>《陕西省财政厅等六部门关于加强财政衔接推进乡村振兴补助资金使用管理的通知》(陕财办农</w:t>
      </w:r>
      <w:r>
        <w:rPr>
          <w:rFonts w:hint="eastAsia" w:ascii="仿宋_GB2312" w:hAnsi="仿宋_GB2312" w:eastAsia="仿宋_GB2312" w:cs="仿宋_GB2312"/>
          <w:color w:val="auto"/>
          <w:spacing w:val="0"/>
          <w:sz w:val="32"/>
          <w:szCs w:val="32"/>
        </w:rPr>
        <w:t>〔2022〕</w:t>
      </w:r>
      <w:r>
        <w:rPr>
          <w:rFonts w:hint="eastAsia" w:ascii="仿宋_GB2312" w:hAnsi="仿宋_GB2312" w:eastAsia="仿宋_GB2312" w:cs="仿宋_GB2312"/>
          <w:color w:val="auto"/>
          <w:spacing w:val="0"/>
          <w:kern w:val="0"/>
          <w:sz w:val="32"/>
          <w:szCs w:val="32"/>
        </w:rPr>
        <w:t>68号)</w:t>
      </w:r>
      <w:r>
        <w:rPr>
          <w:rFonts w:hint="eastAsia" w:ascii="仿宋_GB2312" w:hAnsi="仿宋_GB2312" w:eastAsia="仿宋_GB2312" w:cs="仿宋_GB2312"/>
          <w:color w:val="auto"/>
          <w:spacing w:val="0"/>
          <w:kern w:val="0"/>
          <w:sz w:val="32"/>
          <w:szCs w:val="32"/>
          <w:lang w:eastAsia="zh-CN"/>
        </w:rPr>
        <w:t>和</w:t>
      </w:r>
      <w:r>
        <w:rPr>
          <w:rFonts w:hint="eastAsia" w:ascii="仿宋_GB2312" w:hAnsi="仿宋_GB2312" w:eastAsia="仿宋_GB2312" w:cs="仿宋_GB2312"/>
          <w:color w:val="auto"/>
          <w:spacing w:val="0"/>
          <w:sz w:val="32"/>
          <w:szCs w:val="32"/>
          <w:lang w:eastAsia="zh-CN"/>
        </w:rPr>
        <w:t>《佛坪县财政局、佛坪县农业农村局、佛坪县乡村振兴局、佛坪县发展和改革局转发&lt;汉中市财政局、汉中市农业农村局、汉中市乡村振兴局、汉中市发展和改革委员会关于印发汉中市财政衔接资金及涉农整合资金项目管理工作细则&gt;的通知》（佛财办农〔2022〕35号）</w:t>
      </w:r>
      <w:r>
        <w:rPr>
          <w:rFonts w:hint="eastAsia" w:ascii="仿宋_GB2312" w:hAnsi="仿宋_GB2312" w:eastAsia="仿宋_GB2312" w:cs="仿宋_GB2312"/>
          <w:color w:val="auto"/>
          <w:spacing w:val="0"/>
          <w:kern w:val="0"/>
          <w:sz w:val="32"/>
          <w:szCs w:val="32"/>
        </w:rPr>
        <w:t>等要求，突出</w:t>
      </w:r>
      <w:r>
        <w:rPr>
          <w:rFonts w:hint="eastAsia" w:ascii="仿宋_GB2312" w:hAnsi="仿宋_GB2312" w:eastAsia="仿宋_GB2312" w:cs="仿宋_GB2312"/>
          <w:color w:val="auto"/>
          <w:spacing w:val="0"/>
          <w:kern w:val="0"/>
          <w:sz w:val="32"/>
          <w:szCs w:val="32"/>
          <w:lang w:val="en-US" w:eastAsia="zh-CN"/>
        </w:rPr>
        <w:t>衔接</w:t>
      </w:r>
      <w:r>
        <w:rPr>
          <w:rFonts w:hint="eastAsia" w:ascii="仿宋_GB2312" w:hAnsi="仿宋_GB2312" w:eastAsia="仿宋_GB2312" w:cs="仿宋_GB2312"/>
          <w:color w:val="auto"/>
          <w:spacing w:val="0"/>
          <w:kern w:val="0"/>
          <w:sz w:val="32"/>
          <w:szCs w:val="32"/>
        </w:rPr>
        <w:t>资金支出重点</w:t>
      </w:r>
      <w:r>
        <w:rPr>
          <w:rFonts w:hint="eastAsia" w:ascii="仿宋_GB2312" w:hAnsi="仿宋_GB2312" w:eastAsia="仿宋_GB2312" w:cs="仿宋_GB2312"/>
          <w:color w:val="auto"/>
          <w:spacing w:val="0"/>
          <w:kern w:val="0"/>
          <w:sz w:val="32"/>
          <w:szCs w:val="32"/>
          <w:lang w:eastAsia="zh-CN"/>
        </w:rPr>
        <w:t>，</w:t>
      </w:r>
      <w:r>
        <w:rPr>
          <w:rFonts w:hint="eastAsia" w:ascii="仿宋_GB2312" w:hAnsi="仿宋_GB2312" w:eastAsia="仿宋_GB2312" w:cs="仿宋_GB2312"/>
          <w:color w:val="auto"/>
          <w:spacing w:val="0"/>
          <w:kern w:val="0"/>
          <w:sz w:val="32"/>
          <w:szCs w:val="32"/>
        </w:rPr>
        <w:t>优先支持联农带农富农产业发展，</w:t>
      </w:r>
      <w:r>
        <w:rPr>
          <w:rFonts w:hint="eastAsia" w:ascii="仿宋_GB2312" w:hAnsi="仿宋_GB2312" w:eastAsia="仿宋_GB2312" w:cs="仿宋_GB2312"/>
          <w:color w:val="auto"/>
          <w:spacing w:val="0"/>
          <w:kern w:val="0"/>
          <w:sz w:val="32"/>
          <w:szCs w:val="32"/>
          <w:lang w:eastAsia="zh-CN"/>
        </w:rPr>
        <w:t>健全完善利益联结机制，促进补上短板弱项，推动</w:t>
      </w:r>
      <w:r>
        <w:rPr>
          <w:rFonts w:hint="eastAsia" w:ascii="仿宋_GB2312" w:hAnsi="仿宋_GB2312" w:eastAsia="仿宋_GB2312" w:cs="仿宋_GB2312"/>
          <w:color w:val="auto"/>
          <w:spacing w:val="0"/>
          <w:kern w:val="0"/>
          <w:sz w:val="32"/>
          <w:szCs w:val="32"/>
        </w:rPr>
        <w:t>巩固拓展脱贫攻坚成果，</w:t>
      </w:r>
      <w:r>
        <w:rPr>
          <w:rFonts w:hint="eastAsia" w:ascii="仿宋_GB2312" w:hAnsi="仿宋_GB2312" w:eastAsia="仿宋_GB2312" w:cs="仿宋_GB2312"/>
          <w:color w:val="auto"/>
          <w:spacing w:val="0"/>
          <w:kern w:val="0"/>
          <w:sz w:val="32"/>
          <w:szCs w:val="32"/>
          <w:lang w:eastAsia="zh-CN"/>
        </w:rPr>
        <w:t>衔接推进乡村振兴</w:t>
      </w:r>
      <w:r>
        <w:rPr>
          <w:rFonts w:hint="eastAsia" w:ascii="仿宋_GB2312" w:hAnsi="仿宋_GB2312" w:eastAsia="仿宋_GB2312" w:cs="仿宋_GB2312"/>
          <w:color w:val="auto"/>
          <w:spacing w:val="0"/>
          <w:kern w:val="0"/>
          <w:sz w:val="32"/>
          <w:szCs w:val="32"/>
        </w:rPr>
        <w:t>。</w:t>
      </w:r>
    </w:p>
    <w:p w14:paraId="12784F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kern w:val="0"/>
          <w:sz w:val="32"/>
          <w:szCs w:val="32"/>
          <w:lang w:eastAsia="zh-CN"/>
        </w:rPr>
      </w:pPr>
      <w:r>
        <w:rPr>
          <w:rFonts w:hint="eastAsia" w:ascii="仿宋_GB2312" w:hAnsi="仿宋_GB2312" w:eastAsia="仿宋_GB2312" w:cs="仿宋_GB2312"/>
          <w:color w:val="auto"/>
          <w:spacing w:val="0"/>
          <w:kern w:val="0"/>
          <w:sz w:val="32"/>
          <w:szCs w:val="32"/>
        </w:rPr>
        <w:t>3.此次下达</w:t>
      </w:r>
      <w:r>
        <w:rPr>
          <w:rFonts w:hint="eastAsia" w:ascii="仿宋_GB2312" w:hAnsi="仿宋_GB2312" w:eastAsia="仿宋_GB2312" w:cs="仿宋_GB2312"/>
          <w:color w:val="auto"/>
          <w:spacing w:val="0"/>
          <w:kern w:val="0"/>
          <w:sz w:val="32"/>
          <w:szCs w:val="32"/>
          <w:lang w:val="en-US" w:eastAsia="zh-CN"/>
        </w:rPr>
        <w:t>的</w:t>
      </w:r>
      <w:r>
        <w:rPr>
          <w:rFonts w:hint="eastAsia" w:ascii="仿宋_GB2312" w:hAnsi="仿宋_GB2312" w:eastAsia="仿宋_GB2312" w:cs="仿宋_GB2312"/>
          <w:color w:val="auto"/>
          <w:spacing w:val="0"/>
          <w:kern w:val="0"/>
          <w:sz w:val="32"/>
          <w:szCs w:val="32"/>
          <w:lang w:eastAsia="zh-CN"/>
        </w:rPr>
        <w:t>中央</w:t>
      </w:r>
      <w:r>
        <w:rPr>
          <w:rFonts w:hint="eastAsia" w:ascii="仿宋_GB2312" w:hAnsi="仿宋_GB2312" w:eastAsia="仿宋_GB2312" w:cs="仿宋_GB2312"/>
          <w:color w:val="auto"/>
          <w:spacing w:val="0"/>
          <w:kern w:val="0"/>
          <w:sz w:val="32"/>
          <w:szCs w:val="32"/>
        </w:rPr>
        <w:t>衔接资金列入</w:t>
      </w:r>
      <w:r>
        <w:rPr>
          <w:rFonts w:hint="eastAsia" w:ascii="仿宋_GB2312" w:hAnsi="仿宋_GB2312" w:eastAsia="仿宋_GB2312" w:cs="仿宋_GB2312"/>
          <w:color w:val="auto"/>
          <w:spacing w:val="0"/>
          <w:sz w:val="32"/>
          <w:szCs w:val="32"/>
          <w:lang w:eastAsia="zh-CN"/>
        </w:rPr>
        <w:t>转移支付预算执行常态化监督范围，并保持</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eastAsia="zh-CN"/>
        </w:rPr>
        <w:t>追踪</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eastAsia="zh-CN"/>
        </w:rPr>
        <w:t>标识不变</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kern w:val="0"/>
          <w:sz w:val="32"/>
          <w:szCs w:val="32"/>
          <w:lang w:eastAsia="zh-CN"/>
        </w:rPr>
        <w:t>依托预算管理一体化系统转移支付监控模块，加强日常监管，提高转移支付资金管理使用的规范性和有效性。属于政府采购范围的，应按照政府采购有关规定执行，属于到人到户的资金，请严格执行“一卡通”相关规定制度。</w:t>
      </w:r>
    </w:p>
    <w:p w14:paraId="3C4EF2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kern w:val="0"/>
          <w:sz w:val="32"/>
          <w:szCs w:val="32"/>
          <w:lang w:val="en-US" w:eastAsia="zh-CN"/>
        </w:rPr>
        <w:t>4.根据衔接资金管理办法和全面实施预算绩效管理有关规定，加强全过程绩效管理，</w:t>
      </w:r>
      <w:r>
        <w:rPr>
          <w:rFonts w:hint="eastAsia" w:ascii="仿宋_GB2312" w:hAnsi="仿宋_GB2312" w:eastAsia="仿宋_GB2312" w:cs="仿宋_GB2312"/>
          <w:color w:val="auto"/>
          <w:spacing w:val="0"/>
          <w:sz w:val="32"/>
          <w:szCs w:val="32"/>
        </w:rPr>
        <w:t>在预算执行中对照</w:t>
      </w:r>
      <w:r>
        <w:rPr>
          <w:rFonts w:hint="eastAsia" w:ascii="仿宋_GB2312" w:hAnsi="仿宋_GB2312" w:eastAsia="仿宋_GB2312" w:cs="仿宋_GB2312"/>
          <w:color w:val="auto"/>
          <w:spacing w:val="0"/>
          <w:sz w:val="32"/>
          <w:szCs w:val="32"/>
          <w:lang w:eastAsia="zh-CN"/>
        </w:rPr>
        <w:t>本单位实施项目的绩效目标，并</w:t>
      </w:r>
      <w:r>
        <w:rPr>
          <w:rFonts w:hint="eastAsia" w:ascii="仿宋_GB2312" w:hAnsi="仿宋_GB2312" w:eastAsia="仿宋_GB2312" w:cs="仿宋_GB2312"/>
          <w:color w:val="auto"/>
          <w:spacing w:val="0"/>
          <w:sz w:val="32"/>
          <w:szCs w:val="32"/>
        </w:rPr>
        <w:t>做好绩效</w:t>
      </w:r>
      <w:r>
        <w:rPr>
          <w:rFonts w:hint="eastAsia" w:ascii="仿宋_GB2312" w:hAnsi="仿宋_GB2312" w:eastAsia="仿宋_GB2312" w:cs="仿宋_GB2312"/>
          <w:color w:val="auto"/>
          <w:spacing w:val="0"/>
          <w:sz w:val="32"/>
          <w:szCs w:val="32"/>
          <w:lang w:eastAsia="zh-CN"/>
        </w:rPr>
        <w:t>运行</w:t>
      </w:r>
      <w:r>
        <w:rPr>
          <w:rFonts w:hint="eastAsia" w:ascii="仿宋_GB2312" w:hAnsi="仿宋_GB2312" w:eastAsia="仿宋_GB2312" w:cs="仿宋_GB2312"/>
          <w:color w:val="auto"/>
          <w:spacing w:val="0"/>
          <w:sz w:val="32"/>
          <w:szCs w:val="32"/>
        </w:rPr>
        <w:t>监控</w:t>
      </w:r>
      <w:r>
        <w:rPr>
          <w:rFonts w:hint="eastAsia" w:ascii="仿宋_GB2312" w:hAnsi="仿宋_GB2312" w:eastAsia="仿宋_GB2312" w:cs="仿宋_GB2312"/>
          <w:color w:val="auto"/>
          <w:spacing w:val="0"/>
          <w:sz w:val="32"/>
          <w:szCs w:val="32"/>
          <w:lang w:eastAsia="zh-CN"/>
        </w:rPr>
        <w:t>、绩效评价工作</w:t>
      </w:r>
      <w:r>
        <w:rPr>
          <w:rFonts w:hint="eastAsia" w:ascii="仿宋_GB2312" w:hAnsi="仿宋_GB2312" w:eastAsia="仿宋_GB2312" w:cs="仿宋_GB2312"/>
          <w:color w:val="auto"/>
          <w:spacing w:val="0"/>
          <w:sz w:val="32"/>
          <w:szCs w:val="32"/>
        </w:rPr>
        <w:t>，确保年度绩效目标</w:t>
      </w:r>
      <w:r>
        <w:rPr>
          <w:rFonts w:hint="eastAsia" w:ascii="仿宋_GB2312" w:hAnsi="仿宋_GB2312" w:eastAsia="仿宋_GB2312" w:cs="仿宋_GB2312"/>
          <w:color w:val="auto"/>
          <w:spacing w:val="0"/>
          <w:sz w:val="32"/>
          <w:szCs w:val="32"/>
          <w:lang w:eastAsia="zh-CN"/>
        </w:rPr>
        <w:t>高质量</w:t>
      </w:r>
      <w:r>
        <w:rPr>
          <w:rFonts w:hint="eastAsia" w:ascii="仿宋_GB2312" w:hAnsi="仿宋_GB2312" w:eastAsia="仿宋_GB2312" w:cs="仿宋_GB2312"/>
          <w:color w:val="auto"/>
          <w:spacing w:val="0"/>
          <w:sz w:val="32"/>
          <w:szCs w:val="32"/>
        </w:rPr>
        <w:t>如期完成。</w:t>
      </w:r>
      <w:r>
        <w:rPr>
          <w:rFonts w:hint="eastAsia" w:ascii="仿宋_GB2312" w:hAnsi="仿宋_GB2312" w:eastAsia="仿宋_GB2312" w:cs="仿宋_GB2312"/>
          <w:color w:val="auto"/>
          <w:spacing w:val="0"/>
          <w:sz w:val="32"/>
          <w:szCs w:val="32"/>
          <w:lang w:eastAsia="zh-CN"/>
        </w:rPr>
        <w:t>该资金采用国库集中支付。</w:t>
      </w:r>
      <w:r>
        <w:rPr>
          <w:rFonts w:hint="eastAsia" w:ascii="仿宋_GB2312" w:hAnsi="仿宋_GB2312" w:eastAsia="仿宋_GB2312" w:cs="仿宋_GB2312"/>
          <w:color w:val="auto"/>
          <w:spacing w:val="0"/>
          <w:sz w:val="32"/>
          <w:szCs w:val="32"/>
        </w:rPr>
        <w:t xml:space="preserve"> </w:t>
      </w:r>
    </w:p>
    <w:p w14:paraId="0B5676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sz w:val="32"/>
          <w:szCs w:val="32"/>
        </w:rPr>
      </w:pPr>
    </w:p>
    <w:p w14:paraId="1DA79E2F">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color w:val="auto"/>
          <w:spacing w:val="0"/>
          <w:sz w:val="32"/>
          <w:szCs w:val="32"/>
        </w:rPr>
        <w:t>附件</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6"/>
          <w:sz w:val="32"/>
          <w:szCs w:val="32"/>
        </w:rPr>
        <w:t>1.</w:t>
      </w:r>
      <w:r>
        <w:rPr>
          <w:rFonts w:hint="eastAsia" w:ascii="仿宋_GB2312" w:hAnsi="仿宋_GB2312" w:eastAsia="仿宋_GB2312" w:cs="仿宋_GB2312"/>
          <w:color w:val="auto"/>
          <w:spacing w:val="-6"/>
          <w:sz w:val="32"/>
          <w:szCs w:val="32"/>
          <w:lang w:eastAsia="zh-CN"/>
        </w:rPr>
        <w:t>2025年调整第二批部分省级和市级衔接资金明细表</w:t>
      </w:r>
    </w:p>
    <w:p w14:paraId="608D5BAC">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val="en-US" w:eastAsia="zh-CN"/>
        </w:rPr>
        <w:t>2.</w:t>
      </w:r>
      <w:r>
        <w:rPr>
          <w:rFonts w:hint="eastAsia" w:ascii="仿宋_GB2312" w:hAnsi="仿宋_GB2312" w:eastAsia="仿宋_GB2312" w:cs="仿宋_GB2312"/>
          <w:color w:val="auto"/>
          <w:spacing w:val="0"/>
          <w:sz w:val="32"/>
          <w:szCs w:val="32"/>
        </w:rPr>
        <w:t>2025年调整第二批部分省级和市级衔接资金绩效目标表</w:t>
      </w:r>
    </w:p>
    <w:p w14:paraId="61023C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sz w:val="32"/>
          <w:szCs w:val="32"/>
        </w:rPr>
      </w:pPr>
    </w:p>
    <w:p w14:paraId="5C7D36A2">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color w:val="auto"/>
          <w:spacing w:val="0"/>
          <w:sz w:val="32"/>
          <w:szCs w:val="32"/>
        </w:rPr>
      </w:pPr>
    </w:p>
    <w:p w14:paraId="436CDBAE">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pacing w:val="0"/>
          <w:sz w:val="32"/>
          <w:szCs w:val="32"/>
        </w:rPr>
      </w:pPr>
    </w:p>
    <w:p w14:paraId="6F20CA65">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color w:val="auto"/>
          <w:spacing w:val="0"/>
          <w:sz w:val="32"/>
          <w:szCs w:val="32"/>
        </w:rPr>
        <w:t xml:space="preserve">佛坪县财政局         </w:t>
      </w:r>
    </w:p>
    <w:p w14:paraId="72E8220C">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202</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年</w:t>
      </w:r>
      <w:r>
        <w:rPr>
          <w:rFonts w:hint="eastAsia" w:ascii="仿宋_GB2312" w:hAnsi="仿宋_GB2312" w:eastAsia="仿宋_GB2312" w:cs="仿宋_GB2312"/>
          <w:color w:val="auto"/>
          <w:spacing w:val="0"/>
          <w:sz w:val="32"/>
          <w:szCs w:val="32"/>
          <w:lang w:val="en-US" w:eastAsia="zh-CN"/>
        </w:rPr>
        <w:t>11</w:t>
      </w:r>
      <w:r>
        <w:rPr>
          <w:rFonts w:hint="eastAsia" w:ascii="仿宋_GB2312" w:hAnsi="仿宋_GB2312" w:eastAsia="仿宋_GB2312" w:cs="仿宋_GB2312"/>
          <w:color w:val="auto"/>
          <w:spacing w:val="0"/>
          <w:sz w:val="32"/>
          <w:szCs w:val="32"/>
        </w:rPr>
        <w:t>月</w:t>
      </w:r>
      <w:r>
        <w:rPr>
          <w:rFonts w:hint="eastAsia" w:ascii="仿宋_GB2312" w:hAnsi="仿宋_GB2312" w:eastAsia="仿宋_GB2312" w:cs="仿宋_GB2312"/>
          <w:color w:val="auto"/>
          <w:spacing w:val="0"/>
          <w:sz w:val="32"/>
          <w:szCs w:val="32"/>
          <w:lang w:val="en-US" w:eastAsia="zh-CN"/>
        </w:rPr>
        <w:t>25</w:t>
      </w:r>
      <w:r>
        <w:rPr>
          <w:rFonts w:hint="eastAsia" w:ascii="仿宋_GB2312" w:hAnsi="仿宋_GB2312" w:eastAsia="仿宋_GB2312" w:cs="仿宋_GB2312"/>
          <w:color w:val="auto"/>
          <w:spacing w:val="0"/>
          <w:sz w:val="32"/>
          <w:szCs w:val="32"/>
        </w:rPr>
        <w:t>日</w:t>
      </w:r>
    </w:p>
    <w:p w14:paraId="095EB98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p>
    <w:p w14:paraId="22593C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p>
    <w:p w14:paraId="30A9292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（此件依申请公开）</w:t>
      </w:r>
    </w:p>
    <w:p w14:paraId="0A950B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p>
    <w:p w14:paraId="3C48B80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rPr>
      </w:pPr>
    </w:p>
    <w:p w14:paraId="75C71CA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57520DC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10C9AA1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4267894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2A0056F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7D53BC6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31E4719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06DB35B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pacing w:val="0"/>
          <w:sz w:val="32"/>
          <w:szCs w:val="32"/>
          <w:u w:val="none"/>
        </w:rPr>
      </w:pPr>
    </w:p>
    <w:p w14:paraId="43A0E2D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622AD2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772A5C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3D67FD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739507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1D1025F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1DD954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53D91F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20DD90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5D27B5E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568EEE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61F92B3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031C53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3BED05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sz w:val="32"/>
          <w:szCs w:val="32"/>
          <w:u w:val="thick"/>
          <w:lang w:val="en-US" w:eastAsia="zh-CN"/>
        </w:rPr>
      </w:pPr>
    </w:p>
    <w:p w14:paraId="2D837507">
      <w:pPr>
        <w:keepNext w:val="0"/>
        <w:keepLines w:val="0"/>
        <w:pageBreakBefore w:val="0"/>
        <w:widowControl w:val="0"/>
        <w:pBdr>
          <w:top w:val="single" w:color="auto" w:sz="12" w:space="1"/>
          <w:left w:val="none" w:color="auto" w:sz="0" w:space="4"/>
          <w:bottom w:val="single" w:color="auto" w:sz="12" w:space="1"/>
          <w:right w:val="none" w:color="auto" w:sz="0" w:space="4"/>
          <w:between w:val="none" w:color="auto" w:sz="0" w:space="0"/>
        </w:pBdr>
        <w:kinsoku/>
        <w:wordWrap/>
        <w:overflowPunct/>
        <w:topLinePunct w:val="0"/>
        <w:autoSpaceDE/>
        <w:autoSpaceDN/>
        <w:bidi w:val="0"/>
        <w:adjustRightInd/>
        <w:snapToGrid/>
        <w:spacing w:line="560" w:lineRule="exact"/>
        <w:jc w:val="both"/>
        <w:textAlignment w:val="auto"/>
        <w:rPr>
          <w:rFonts w:hint="default" w:ascii="仿宋_GB2312" w:eastAsia="仿宋_GB2312"/>
          <w:color w:val="auto"/>
          <w:spacing w:val="0"/>
          <w:sz w:val="28"/>
          <w:szCs w:val="28"/>
          <w:u w:val="thick"/>
          <w:lang w:val="en-US" w:eastAsia="zh-CN"/>
        </w:rPr>
        <w:sectPr>
          <w:footerReference r:id="rId3" w:type="default"/>
          <w:footerReference r:id="rId4" w:type="even"/>
          <w:pgSz w:w="11906" w:h="16838"/>
          <w:pgMar w:top="2098" w:right="1474" w:bottom="1984" w:left="1587" w:header="850" w:footer="992" w:gutter="0"/>
          <w:paperSrc/>
          <w:cols w:space="720" w:num="1"/>
          <w:rtlGutter w:val="0"/>
          <w:docGrid w:type="linesAndChars" w:linePitch="579" w:charSpace="0"/>
        </w:sectPr>
      </w:pPr>
      <w:r>
        <w:rPr>
          <w:rFonts w:hint="eastAsia" w:ascii="仿宋_GB2312" w:eastAsia="仿宋_GB2312"/>
          <w:color w:val="auto"/>
          <w:spacing w:val="0"/>
          <w:sz w:val="28"/>
          <w:szCs w:val="28"/>
          <w:u w:val="none"/>
          <w:lang w:val="en-US" w:eastAsia="zh-CN"/>
        </w:rPr>
        <w:t xml:space="preserve">  </w:t>
      </w:r>
      <w:r>
        <w:rPr>
          <w:rFonts w:hint="eastAsia" w:ascii="仿宋_GB2312" w:eastAsia="仿宋_GB2312"/>
          <w:color w:val="auto"/>
          <w:spacing w:val="0"/>
          <w:sz w:val="28"/>
          <w:szCs w:val="28"/>
          <w:u w:val="none"/>
        </w:rPr>
        <w:t>佛坪县财政局办公室                    202</w:t>
      </w:r>
      <w:r>
        <w:rPr>
          <w:rFonts w:hint="eastAsia" w:ascii="仿宋_GB2312" w:eastAsia="仿宋_GB2312"/>
          <w:color w:val="auto"/>
          <w:spacing w:val="0"/>
          <w:sz w:val="28"/>
          <w:szCs w:val="28"/>
          <w:u w:val="none"/>
          <w:lang w:val="en-US" w:eastAsia="zh-CN"/>
        </w:rPr>
        <w:t>5</w:t>
      </w:r>
      <w:r>
        <w:rPr>
          <w:rFonts w:hint="eastAsia" w:ascii="仿宋_GB2312" w:eastAsia="仿宋_GB2312"/>
          <w:color w:val="auto"/>
          <w:spacing w:val="0"/>
          <w:sz w:val="28"/>
          <w:szCs w:val="28"/>
          <w:u w:val="none"/>
        </w:rPr>
        <w:t>年</w:t>
      </w:r>
      <w:r>
        <w:rPr>
          <w:rFonts w:hint="eastAsia" w:ascii="仿宋_GB2312"/>
          <w:color w:val="auto"/>
          <w:spacing w:val="0"/>
          <w:sz w:val="28"/>
          <w:szCs w:val="28"/>
          <w:u w:val="none"/>
          <w:lang w:val="en-US" w:eastAsia="zh-CN"/>
        </w:rPr>
        <w:t>11</w:t>
      </w:r>
      <w:r>
        <w:rPr>
          <w:rFonts w:hint="eastAsia" w:ascii="仿宋_GB2312" w:eastAsia="仿宋_GB2312"/>
          <w:color w:val="auto"/>
          <w:spacing w:val="0"/>
          <w:sz w:val="28"/>
          <w:szCs w:val="28"/>
          <w:u w:val="none"/>
        </w:rPr>
        <w:t>月</w:t>
      </w:r>
      <w:r>
        <w:rPr>
          <w:rFonts w:hint="eastAsia" w:ascii="仿宋_GB2312"/>
          <w:color w:val="auto"/>
          <w:spacing w:val="0"/>
          <w:sz w:val="28"/>
          <w:szCs w:val="28"/>
          <w:u w:val="none"/>
          <w:lang w:val="en-US" w:eastAsia="zh-CN"/>
        </w:rPr>
        <w:t>25</w:t>
      </w:r>
      <w:r>
        <w:rPr>
          <w:rFonts w:hint="eastAsia" w:ascii="仿宋_GB2312" w:eastAsia="仿宋_GB2312"/>
          <w:color w:val="auto"/>
          <w:spacing w:val="0"/>
          <w:sz w:val="28"/>
          <w:szCs w:val="28"/>
          <w:u w:val="none"/>
        </w:rPr>
        <w:t>日印</w:t>
      </w:r>
      <w:r>
        <w:rPr>
          <w:rFonts w:hint="eastAsia" w:ascii="仿宋_GB2312" w:eastAsia="仿宋_GB2312"/>
          <w:color w:val="auto"/>
          <w:spacing w:val="0"/>
          <w:sz w:val="28"/>
          <w:szCs w:val="28"/>
          <w:u w:val="none"/>
          <w:lang w:val="en-US" w:eastAsia="zh-CN"/>
        </w:rPr>
        <w:t>发</w:t>
      </w:r>
    </w:p>
    <w:p w14:paraId="78F5FE09">
      <w:bookmarkStart w:id="0" w:name="_GoBack"/>
      <w:bookmarkEnd w:id="0"/>
    </w:p>
    <w:sectPr>
      <w:pgSz w:w="11906" w:h="16838"/>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KSOFBE25B2F9">
    <w:panose1 w:val="02000000000000000000"/>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C5449">
    <w:pPr>
      <w:pStyle w:val="9"/>
      <w:framePr w:wrap="around" w:vAnchor="text" w:hAnchor="page" w:x="9329" w:y="-621"/>
      <w:rPr>
        <w:rStyle w:val="12"/>
        <w:rFonts w:hint="eastAsia" w:ascii="宋体" w:hAnsi="宋体"/>
        <w:sz w:val="30"/>
        <w:szCs w:val="30"/>
      </w:rPr>
    </w:pPr>
    <w:r>
      <w:rPr>
        <w:rStyle w:val="12"/>
        <w:rFonts w:hint="eastAsia" w:ascii="宋体" w:hAnsi="宋体"/>
        <w:sz w:val="30"/>
        <w:szCs w:val="30"/>
      </w:rPr>
      <w:t>—</w:t>
    </w:r>
    <w:r>
      <w:rPr>
        <w:rFonts w:ascii="宋体" w:hAnsi="宋体"/>
        <w:sz w:val="30"/>
        <w:szCs w:val="30"/>
      </w:rPr>
      <w:fldChar w:fldCharType="begin"/>
    </w:r>
    <w:r>
      <w:rPr>
        <w:rFonts w:ascii="宋体" w:hAnsi="宋体"/>
        <w:sz w:val="30"/>
        <w:szCs w:val="30"/>
      </w:rPr>
      <w:instrText xml:space="preserve">PAGE  </w:instrText>
    </w:r>
    <w:r>
      <w:rPr>
        <w:rFonts w:ascii="宋体" w:hAnsi="宋体"/>
        <w:sz w:val="30"/>
        <w:szCs w:val="30"/>
      </w:rPr>
      <w:fldChar w:fldCharType="separate"/>
    </w:r>
    <w:r>
      <w:rPr>
        <w:rStyle w:val="12"/>
        <w:rFonts w:ascii="宋体" w:hAnsi="宋体"/>
        <w:sz w:val="30"/>
        <w:szCs w:val="30"/>
      </w:rPr>
      <w:t>3</w:t>
    </w:r>
    <w:r>
      <w:rPr>
        <w:rFonts w:ascii="宋体" w:hAnsi="宋体"/>
        <w:sz w:val="30"/>
        <w:szCs w:val="30"/>
      </w:rPr>
      <w:fldChar w:fldCharType="end"/>
    </w:r>
    <w:r>
      <w:rPr>
        <w:rStyle w:val="12"/>
        <w:rFonts w:hint="eastAsia" w:ascii="宋体" w:hAnsi="宋体"/>
        <w:sz w:val="30"/>
        <w:szCs w:val="30"/>
      </w:rPr>
      <w:t>—</w:t>
    </w:r>
  </w:p>
  <w:p w14:paraId="6C5C7C9B">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FDD66">
    <w:pPr>
      <w:pStyle w:val="9"/>
      <w:framePr w:wrap="around" w:vAnchor="text" w:hAnchor="page" w:x="1984" w:y="-621"/>
      <w:rPr>
        <w:rStyle w:val="12"/>
        <w:rFonts w:ascii="宋体" w:hAnsi="宋体"/>
        <w:sz w:val="28"/>
        <w:szCs w:val="28"/>
      </w:rPr>
    </w:pPr>
    <w:r>
      <w:rPr>
        <w:rStyle w:val="12"/>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2</w:t>
    </w:r>
    <w:r>
      <w:rPr>
        <w:rFonts w:ascii="宋体" w:hAnsi="宋体"/>
        <w:sz w:val="28"/>
        <w:szCs w:val="28"/>
      </w:rPr>
      <w:fldChar w:fldCharType="end"/>
    </w:r>
    <w:r>
      <w:rPr>
        <w:rStyle w:val="12"/>
        <w:rFonts w:hint="eastAsia" w:ascii="宋体" w:hAnsi="宋体"/>
        <w:sz w:val="28"/>
        <w:szCs w:val="28"/>
      </w:rPr>
      <w:t>—</w:t>
    </w:r>
  </w:p>
  <w:p w14:paraId="13A30329">
    <w:pPr>
      <w:pStyle w:val="9"/>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evenAndOddHeaders w:val="1"/>
  <w:drawingGridHorizontalSpacing w:val="210"/>
  <w:drawingGridVerticalSpacing w:val="290"/>
  <w:displayVerticalDrawingGridEvery w:val="2"/>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
  <w:rsids>
    <w:rsidRoot w:val="00000000"/>
    <w:rsid w:val="14885D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
    <w:name w:val="普通表格1"/>
    <w:semiHidden/>
    <w:uiPriority w:val="0"/>
    <w:tblPr>
      <w:tblCellMar>
        <w:top w:w="0" w:type="dxa"/>
        <w:left w:w="108" w:type="dxa"/>
        <w:bottom w:w="0" w:type="dxa"/>
        <w:right w:w="108" w:type="dxa"/>
      </w:tblCellMar>
    </w:tblPr>
  </w:style>
  <w:style w:type="paragraph" w:customStyle="1" w:styleId="7">
    <w:name w:val="日期1"/>
    <w:basedOn w:val="1"/>
    <w:next w:val="1"/>
    <w:uiPriority w:val="0"/>
    <w:pPr>
      <w:ind w:left="100" w:leftChars="2500"/>
    </w:pPr>
  </w:style>
  <w:style w:type="paragraph" w:customStyle="1" w:styleId="8">
    <w:name w:val="批注框文本1"/>
    <w:basedOn w:val="1"/>
    <w:semiHidden/>
    <w:uiPriority w:val="0"/>
    <w:rPr>
      <w:sz w:val="18"/>
      <w:szCs w:val="18"/>
    </w:rPr>
  </w:style>
  <w:style w:type="paragraph" w:customStyle="1" w:styleId="9">
    <w:name w:val="页脚1"/>
    <w:basedOn w:val="1"/>
    <w:qFormat/>
    <w:uiPriority w:val="0"/>
    <w:pPr>
      <w:tabs>
        <w:tab w:val="center" w:pos="4153"/>
        <w:tab w:val="right" w:pos="8306"/>
      </w:tabs>
      <w:snapToGrid w:val="0"/>
      <w:jc w:val="left"/>
    </w:pPr>
    <w:rPr>
      <w:sz w:val="18"/>
      <w:szCs w:val="18"/>
    </w:rPr>
  </w:style>
  <w:style w:type="paragraph" w:customStyle="1" w:styleId="10">
    <w:name w:val="页眉1"/>
    <w:basedOn w:val="1"/>
    <w:qFormat/>
    <w:uiPriority w:val="0"/>
    <w:pPr>
      <w:pBdr>
        <w:bottom w:val="single" w:color="auto" w:sz="6" w:space="1"/>
      </w:pBdr>
      <w:tabs>
        <w:tab w:val="center" w:pos="4153"/>
        <w:tab w:val="right" w:pos="8306"/>
      </w:tabs>
      <w:snapToGrid w:val="0"/>
      <w:jc w:val="center"/>
    </w:pPr>
    <w:rPr>
      <w:sz w:val="18"/>
      <w:szCs w:val="18"/>
    </w:rPr>
  </w:style>
  <w:style w:type="table" w:customStyle="1" w:styleId="11">
    <w:name w:val="网格型1"/>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码1"/>
    <w:basedOn w:val="5"/>
    <w:qFormat/>
    <w:uiPriority w:val="0"/>
  </w:style>
  <w:style w:type="character" w:customStyle="1" w:styleId="13">
    <w:name w:val="font31"/>
    <w:basedOn w:val="5"/>
    <w:qFormat/>
    <w:uiPriority w:val="0"/>
    <w:rPr>
      <w:rFonts w:hint="eastAsia" w:ascii="宋体" w:hAnsi="宋体" w:eastAsia="宋体" w:cs="宋体"/>
      <w:color w:val="000000"/>
      <w:sz w:val="20"/>
      <w:szCs w:val="20"/>
      <w:u w:val="none"/>
    </w:rPr>
  </w:style>
  <w:style w:type="character" w:customStyle="1" w:styleId="14">
    <w:name w:val="font61"/>
    <w:basedOn w:val="5"/>
    <w:qFormat/>
    <w:uiPriority w:val="0"/>
    <w:rPr>
      <w:rFonts w:hint="eastAsia" w:ascii="仿宋_GB2312" w:eastAsia="仿宋_GB2312" w:cs="仿宋_GB2312"/>
      <w:color w:val="000000"/>
      <w:sz w:val="20"/>
      <w:szCs w:val="20"/>
      <w:u w:val="none"/>
    </w:rPr>
  </w:style>
  <w:style w:type="paragraph" w:customStyle="1" w:styleId="15">
    <w:name w:val="p0"/>
    <w:basedOn w:val="1"/>
    <w:uiPriority w:val="0"/>
    <w:pPr>
      <w:widowControl/>
      <w:ind w:firstLine="420"/>
    </w:pPr>
    <w:rPr>
      <w:rFonts w:ascii="Calibri" w:hAnsi="Calibri"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2052-12.1.0.23542</vt:lpwstr>
  </property>
  <property fmtid="{D5CDD505-2E9C-101B-9397-08002B2CF9AE}" pid="3" name="ICV">
    <vt:lpwstr>B2E399F5E9DD40CEB971B87AE30CCB92_13</vt:lpwstr>
  </property>
  <property fmtid="{D5CDD505-2E9C-101B-9397-08002B2CF9AE}" pid="4" name="KSOTemplateDocerSaveRecord">
    <vt:lpwstr>eyJoZGlkIjoiNjg0ZWE4ZTRiYWM1NjRiNTQ2ZThiMDZjOGI1OTQzNzQiLCJ1c2VySWQiOiIxNTIxNDY3OTMyIn0_x003D_</vt:lpwstr>
  </property>
</Properties>
</file>

<file path=customXml/item2.xml><?xml version="1.0" encoding="utf-8"?>
<Properties xmlns:vt="http://schemas.openxmlformats.org/officeDocument/2006/docPropsVTypes" xmlns="http://schemas.openxmlformats.org/officeDocument/2006/extended-properties">
  <Template>Normal</Template>
  <TotalTime>157755840</TotalTime>
  <Pages>4</Pages>
  <Words>1039</Words>
  <Characters>1102</Characters>
  <Application>WPS Office_12.1.0.23542_F1E327BC-269C-435d-A152-05C5408002CA</Application>
  <DocSecurity>0</DocSecurity>
  <Lines>6</Lines>
  <Paragraphs>1</Paragraphs>
  <Company>www.in9.cn</Company>
  <CharactersWithSpaces>1135</CharactersWithSpaces>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itle>佛坪县财政局</dc:title>
  <dc:creator>999宝藏网</dc:creator>
  <cp:lastModifiedBy>微信用户</cp:lastModifiedBy>
  <cp:revision>8</cp:revision>
  <cp:lastPrinted>2025-11-25T07:10:39Z</cp:lastPrinted>
  <dcterms:created xsi:type="dcterms:W3CDTF">2019-05-17T02:05:00Z</dcterms:created>
  <dcterms:modified xsi:type="dcterms:W3CDTF">2025-12-30T12:37:31Z</dcterms:modified>
</cp:coreProperties>
</file>

<file path=customXml/itemProps1.xml><?xml version="1.0" encoding="utf-8"?>
<ds:datastoreItem xmlns:ds="http://schemas.openxmlformats.org/officeDocument/2006/customXml" ds:itemID="{d5ffe3f7-b122-48a9-a3f8-1ccc1deb3bab}">
  <ds:schemaRefs/>
</ds:datastoreItem>
</file>

<file path=customXml/itemProps2.xml><?xml version="1.0" encoding="utf-8"?>
<ds:datastoreItem xmlns:ds="http://schemas.openxmlformats.org/officeDocument/2006/customXml" ds:itemID="{e1f5e6e9-40d4-4cfe-aacc-c768440eb484}">
  <ds:schemaRefs/>
</ds:datastoreItem>
</file>

<file path=customXml/itemProps3.xml><?xml version="1.0" encoding="utf-8"?>
<ds:datastoreItem xmlns:ds="http://schemas.openxmlformats.org/officeDocument/2006/customXml" ds:itemID="{437b57c6-70e6-4e9c-8e60-34ea830ca29d}">
  <ds:schemaRefs/>
</ds:datastoreItem>
</file>

<file path=docProps/app.xml><?xml version="1.0" encoding="utf-8"?>
<Properties xmlns="http://schemas.openxmlformats.org/officeDocument/2006/extended-properties" xmlns:vt="http://schemas.openxmlformats.org/officeDocument/2006/docPropsVTypes">
  <Template>Normal</Template>
  <Company>www.in9.cn</Company>
  <Pages>5</Pages>
  <Words>1051</Words>
  <Characters>1116</Characters>
  <Lines>6</Lines>
  <Paragraphs>1</Paragraphs>
  <TotalTime>157755840</TotalTime>
  <ScaleCrop>false</ScaleCrop>
  <LinksUpToDate>false</LinksUpToDate>
  <CharactersWithSpaces>1148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2019-05-17T02:05:00Z</dcterms:created>
  <dc:creator>999宝藏网</dc:creator>
  <cp:lastModifiedBy>꧁Mr王`铁錘꧂</cp:lastModifiedBy>
  <cp:lastPrinted>2025-11-25T07:10:00Z</cp:lastPrinted>
  <dcterms:modified xsi:type="dcterms:W3CDTF">2025-12-30T12:39:20Z</dcterms:modified>
  <dc:title>佛坪县财政局</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B2E399F5E9DD40CEB971B87AE30CCB92_13</vt:lpwstr>
  </property>
  <property fmtid="{D5CDD505-2E9C-101B-9397-08002B2CF9AE}" pid="4" name="KSOTemplateDocerSaveRecord">
    <vt:lpwstr>eyJoZGlkIjoiMGE1MGJmNzBkZDViZTg2Yzc5OGIzNjJkNmVmMjdiNGMiLCJ1c2VySWQiOiI1MDY1NTIzODQifQ==</vt:lpwstr>
  </property>
  <property fmtid="{D5CDD505-2E9C-101B-9397-08002B2CF9AE}" pid="5" name="AIGC">
    <vt:lpwstr>{"ContentType":"Report-word","Producer":"蜜度-校对通","TaskID":"JDT_20251230_a2d322e621764b109c9635fd913c6307","Timestamp":1767098256580,"Version":"wenxiu_v4.0"}</vt:lpwstr>
  </property>
</Properties>
</file>